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EF47F" w14:textId="77777777" w:rsidR="00B703AF" w:rsidRDefault="00B703AF" w:rsidP="00B703AF">
      <w:pPr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0" w:name="_GoBack"/>
      <w:bookmarkEnd w:id="0"/>
      <w:r w:rsidRPr="00B703A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Processing a </w:t>
      </w:r>
      <w:r w:rsidRPr="00B703A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Current Active</w:t>
      </w:r>
      <w:r w:rsidRPr="00B703A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Substitute Teacher to be an Athletic Coach (8271 Prof Expert) – July 2024</w:t>
      </w:r>
    </w:p>
    <w:p w14:paraId="34CBD379" w14:textId="77777777" w:rsidR="00C924F0" w:rsidRPr="00B703AF" w:rsidRDefault="00C924F0" w:rsidP="00B703AF">
      <w:pPr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CF55652" w14:textId="77777777" w:rsidR="00B703AF" w:rsidRPr="00B703AF" w:rsidRDefault="00B703AF" w:rsidP="00B703AF">
      <w:pPr>
        <w:numPr>
          <w:ilvl w:val="0"/>
          <w:numId w:val="4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Request for Personnel Action (RPA) (HR form 9073)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:</w:t>
      </w:r>
    </w:p>
    <w:p w14:paraId="0AFD472F" w14:textId="522CFA17" w:rsidR="00B703AF" w:rsidRPr="00B703AF" w:rsidRDefault="00B703AF" w:rsidP="00B703AF">
      <w:pPr>
        <w:numPr>
          <w:ilvl w:val="1"/>
          <w:numId w:val="5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 SAA or School Site complete</w:t>
      </w:r>
      <w:r w:rsidR="00507508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the HR form 9073</w:t>
      </w:r>
      <w:r w:rsidR="00507508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(RPA)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B44390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Ensure it includes </w:t>
      </w:r>
      <w:r w:rsidR="00515C8D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Job Class 29208271 (unclassified </w:t>
      </w:r>
      <w:proofErr w:type="gramStart"/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prof</w:t>
      </w:r>
      <w:proofErr w:type="gramEnd"/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expert) and the hourly rate $22.52. </w:t>
      </w:r>
      <w:proofErr w:type="gramStart"/>
      <w:r w:rsidR="00515C8D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 Position Control Number will be created by Fiscal</w:t>
      </w:r>
      <w:proofErr w:type="gramEnd"/>
      <w:r w:rsidR="00515C8D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and Central Budgets once submitted.</w:t>
      </w:r>
    </w:p>
    <w:p w14:paraId="31A07CD0" w14:textId="77777777" w:rsidR="00B703AF" w:rsidRDefault="00B703AF" w:rsidP="00B703AF">
      <w:pPr>
        <w:numPr>
          <w:ilvl w:val="0"/>
          <w:numId w:val="4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Complete a TCA 3167 Prof Expert Application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: Ensure </w:t>
      </w:r>
      <w:proofErr w:type="gramStart"/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it is signed by the employee, fiscal, and admin</w:t>
      </w:r>
      <w:proofErr w:type="gramEnd"/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.</w:t>
      </w:r>
    </w:p>
    <w:p w14:paraId="74E10DE1" w14:textId="2357A411" w:rsidR="00B703AF" w:rsidRPr="00B703AF" w:rsidRDefault="00B703AF" w:rsidP="00B703AF">
      <w:pPr>
        <w:numPr>
          <w:ilvl w:val="0"/>
          <w:numId w:val="4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Submit </w:t>
      </w:r>
      <w:r w:rsidR="00A4720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both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completed documents to Interscholastic Athletic</w:t>
      </w:r>
      <w:r w:rsidR="00A4720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4720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Departtment</w:t>
      </w:r>
      <w:proofErr w:type="spellEnd"/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.</w:t>
      </w:r>
    </w:p>
    <w:p w14:paraId="390B4034" w14:textId="77777777" w:rsidR="00BF2620" w:rsidRDefault="00BF2620" w:rsidP="00B703A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78DE542A" w14:textId="120731B9" w:rsidR="00B703AF" w:rsidRDefault="00B703AF" w:rsidP="00B703A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This needs to be done for each coach per school year who is also an LAUSD Substitute to be able to </w:t>
      </w:r>
      <w:proofErr w:type="gramStart"/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get</w:t>
      </w:r>
      <w:proofErr w:type="gramEnd"/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paid.</w:t>
      </w:r>
    </w:p>
    <w:p w14:paraId="57BA06C3" w14:textId="77777777" w:rsidR="00BF2620" w:rsidRPr="00B703AF" w:rsidRDefault="00BF2620" w:rsidP="00B703A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2B0170B6" w14:textId="77777777" w:rsidR="00867799" w:rsidRDefault="00B703AF" w:rsidP="00B703A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  <w:t xml:space="preserve">Once </w:t>
      </w:r>
      <w:proofErr w:type="gramStart"/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  <w:t>all forms are received by Certificated HR</w:t>
      </w:r>
      <w:proofErr w:type="gramEnd"/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  <w:t xml:space="preserve">, they will process an additional Employee </w:t>
      </w:r>
      <w:r w:rsidR="003A0CC4" w:rsidRPr="0010795D"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  <w:t>N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  <w:t xml:space="preserve">umber </w:t>
      </w:r>
      <w:r w:rsidR="00BF2620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in order to enter either their hourly time</w:t>
      </w:r>
      <w:r w:rsidR="009F17D7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rate</w:t>
      </w:r>
      <w:r w:rsidR="00BF2620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or lump </w:t>
      </w:r>
      <w:r w:rsidR="0064084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</w:t>
      </w:r>
      <w:r w:rsidR="00BF2620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um</w:t>
      </w:r>
      <w:r w:rsidR="003A0CC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4084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</w:t>
      </w:r>
      <w:r w:rsidR="003A0CC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tipend</w:t>
      </w:r>
      <w:r w:rsidR="00165F5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.  </w:t>
      </w:r>
    </w:p>
    <w:p w14:paraId="4DDCE1F5" w14:textId="77777777" w:rsidR="00867799" w:rsidRDefault="00867799" w:rsidP="00B703A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09D95D50" w14:textId="77777777" w:rsidR="00867799" w:rsidRDefault="00867799" w:rsidP="00867799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Note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: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Please see REF-1802.21 Time Reporting for Lump Sum Payment of Differentials and or Compensation for Athletic Coaches information sheet.</w:t>
      </w:r>
    </w:p>
    <w:p w14:paraId="2E330C7C" w14:textId="77777777" w:rsidR="009F17D7" w:rsidRDefault="009F17D7" w:rsidP="00B703A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07127858" w14:textId="77777777" w:rsidR="009F17D7" w:rsidRPr="00B703AF" w:rsidRDefault="009F17D7" w:rsidP="00B703A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05103108" w14:textId="77777777" w:rsidR="00B703AF" w:rsidRPr="00B703AF" w:rsidRDefault="0051303D" w:rsidP="00B703A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pict w14:anchorId="088B85F6">
          <v:rect id="_x0000_i1025" style="width:0;height:1.5pt" o:hralign="center" o:hrstd="t" o:hrnoshade="t" o:hr="t" fillcolor="#242424" stroked="f"/>
        </w:pict>
      </w:r>
    </w:p>
    <w:p w14:paraId="5935B434" w14:textId="77777777" w:rsidR="00B703AF" w:rsidRDefault="00B703AF" w:rsidP="00B703AF">
      <w:pPr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Processing a Credentialed Retired Teacher to be an Athletic Coach (0620 Prof Expert) – January 2025</w:t>
      </w:r>
    </w:p>
    <w:p w14:paraId="01CE676B" w14:textId="77777777" w:rsidR="009F17D7" w:rsidRPr="00B703AF" w:rsidRDefault="009F17D7" w:rsidP="00B703AF">
      <w:pPr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C4F26D9" w14:textId="77777777" w:rsidR="00B703AF" w:rsidRPr="00B703AF" w:rsidRDefault="00B703AF" w:rsidP="00B703AF">
      <w:pPr>
        <w:numPr>
          <w:ilvl w:val="0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Wait 180 days after Retirement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: If recently retired within the last 6 months.</w:t>
      </w:r>
    </w:p>
    <w:p w14:paraId="03924B9F" w14:textId="2B9FB343" w:rsidR="00B703AF" w:rsidRDefault="00B703AF" w:rsidP="00B703AF">
      <w:pPr>
        <w:numPr>
          <w:ilvl w:val="0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Create Onboarding Profile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: For new or inactive retirees, use the link below to create their onboarding profile in Success Factors (LAUSD Employment system). This will allow </w:t>
      </w:r>
      <w:r w:rsidR="0029642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 new applicant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to submit both fingerprints and medical TB </w:t>
      </w:r>
      <w:r w:rsidR="0029642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for 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clearances.</w:t>
      </w:r>
    </w:p>
    <w:p w14:paraId="0854C899" w14:textId="77777777" w:rsidR="0029642E" w:rsidRDefault="0029642E" w:rsidP="0029642E">
      <w:pPr>
        <w:spacing w:after="0" w:line="240" w:lineRule="auto"/>
        <w:ind w:left="720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08BFAB71" w14:textId="3C20D289" w:rsidR="0064630E" w:rsidRDefault="0051303D" w:rsidP="0064630E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hyperlink r:id="rId5" w:history="1">
        <w:r w:rsidR="0064630E" w:rsidRPr="00C67216">
          <w:rPr>
            <w:rStyle w:val="Hyperlink"/>
            <w:rFonts w:ascii="Aptos" w:eastAsia="Times New Roman" w:hAnsi="Aptos" w:cs="Segoe UI"/>
            <w:kern w:val="0"/>
            <w:sz w:val="24"/>
            <w:szCs w:val="24"/>
            <w14:ligatures w14:val="none"/>
          </w:rPr>
          <w:t>https://career41.sapsf.com/sfcareer/jobreqcareerpvt?jobId=3560&amp;company=losangel01&amp;st=15F5AE2CEDC5A36CDAE968951B9715D1F3401F0B</w:t>
        </w:r>
      </w:hyperlink>
    </w:p>
    <w:p w14:paraId="77BC4A5E" w14:textId="77777777" w:rsidR="0064630E" w:rsidRPr="00B703AF" w:rsidRDefault="0064630E" w:rsidP="0064630E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1E6BBEBF" w14:textId="4BDEE009" w:rsidR="00B703AF" w:rsidRPr="00B703AF" w:rsidRDefault="00B703AF" w:rsidP="00B703AF">
      <w:pPr>
        <w:numPr>
          <w:ilvl w:val="0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Submit Documents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: Have the Athletic Director send the following documents to the Athletic Department with the Employee #:</w:t>
      </w:r>
    </w:p>
    <w:p w14:paraId="4ECFDEB4" w14:textId="77777777" w:rsidR="00B703AF" w:rsidRPr="00B703AF" w:rsidRDefault="00B703AF" w:rsidP="00B703AF">
      <w:pPr>
        <w:numPr>
          <w:ilvl w:val="1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Request for Personnel Action (RPA) (HR form 9073)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:</w:t>
      </w:r>
    </w:p>
    <w:p w14:paraId="179F6E85" w14:textId="77777777" w:rsidR="00B703AF" w:rsidRPr="00B703AF" w:rsidRDefault="00B703AF" w:rsidP="00B703AF">
      <w:pPr>
        <w:numPr>
          <w:ilvl w:val="2"/>
          <w:numId w:val="7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 SAA or School Site should complete the HR form 9073, which is the Request for Personnel Action. Ensure it includes a Position Control Number (PCN) with Job Class 19100620 (certificated prof. expert) and the hourly rate $22.52.</w:t>
      </w:r>
    </w:p>
    <w:p w14:paraId="5A5F9099" w14:textId="6F5AF20F" w:rsidR="00B703AF" w:rsidRPr="00B703AF" w:rsidRDefault="00B703AF" w:rsidP="00B703AF">
      <w:pPr>
        <w:numPr>
          <w:ilvl w:val="1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Complete a TCA 3167 Prof Expert Application</w:t>
      </w:r>
      <w:r w:rsidR="00D05765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6D2422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Form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: Ensure </w:t>
      </w:r>
      <w:proofErr w:type="gramStart"/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it is signed by the employee, fiscal, and admin</w:t>
      </w:r>
      <w:proofErr w:type="gramEnd"/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.</w:t>
      </w:r>
    </w:p>
    <w:p w14:paraId="3909246C" w14:textId="19414574" w:rsidR="004C3EA4" w:rsidRDefault="00B703AF" w:rsidP="00B703AF">
      <w:pPr>
        <w:numPr>
          <w:ilvl w:val="1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Onboarding Packet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: If new, they will need to complete the entire </w:t>
      </w:r>
      <w:proofErr w:type="gramStart"/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prof</w:t>
      </w:r>
      <w:proofErr w:type="gramEnd"/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expert onboarding packet to create their assignment once cleared for fingerprints and medical TB.</w:t>
      </w:r>
      <w:r w:rsidR="006B561D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578D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3B00E4C2" w14:textId="52C78FB2" w:rsidR="00B703AF" w:rsidRDefault="00B703AF" w:rsidP="00B703AF">
      <w:pPr>
        <w:numPr>
          <w:ilvl w:val="1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Submit</w:t>
      </w:r>
      <w:r w:rsidR="00C845D7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9542D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all 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completed documents to La Shanda Younger </w:t>
      </w:r>
      <w:r w:rsidR="00AF7F1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(</w:t>
      </w:r>
      <w:hyperlink r:id="rId6" w:history="1">
        <w:r w:rsidR="00AF7F1C" w:rsidRPr="00294B5C">
          <w:rPr>
            <w:rStyle w:val="Hyperlink"/>
            <w:rFonts w:ascii="Aptos" w:eastAsia="Times New Roman" w:hAnsi="Aptos" w:cs="Times New Roman"/>
            <w:kern w:val="0"/>
            <w:sz w:val="24"/>
            <w:szCs w:val="24"/>
            <w14:ligatures w14:val="none"/>
          </w:rPr>
          <w:t>lashanda.younger@lausd.net</w:t>
        </w:r>
      </w:hyperlink>
      <w:r w:rsidR="00AF7F1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or call 213-241-5847.</w:t>
      </w:r>
    </w:p>
    <w:p w14:paraId="292602E5" w14:textId="77777777" w:rsidR="004C3EA4" w:rsidRPr="00B703AF" w:rsidRDefault="004C3EA4" w:rsidP="004C3EA4">
      <w:pPr>
        <w:spacing w:after="0" w:line="240" w:lineRule="auto"/>
        <w:ind w:left="1440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2C54B71A" w14:textId="77777777" w:rsidR="00B703AF" w:rsidRDefault="00B703AF" w:rsidP="00B703A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This needs to </w:t>
      </w:r>
      <w:proofErr w:type="gramStart"/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be done</w:t>
      </w:r>
      <w:proofErr w:type="gramEnd"/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for each coach once per school year.</w:t>
      </w:r>
    </w:p>
    <w:p w14:paraId="52E50F21" w14:textId="77777777" w:rsidR="004C3EA4" w:rsidRPr="00B703AF" w:rsidRDefault="004C3EA4" w:rsidP="00B703A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48DE042C" w14:textId="32BBD332" w:rsidR="00867799" w:rsidRDefault="00B703AF" w:rsidP="00867799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703A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Note</w:t>
      </w:r>
      <w:r w:rsidRPr="00B703AF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="0086779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Please see REF-1802.21 Time Reporting for Lump Sum Payment of Differentials and or Compensation for Athletic Coaches information sheet.</w:t>
      </w:r>
    </w:p>
    <w:p w14:paraId="010895FA" w14:textId="0852DAE3" w:rsidR="000B17A5" w:rsidRPr="000B17A5" w:rsidRDefault="000B17A5" w:rsidP="00867799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65BE53FA" w14:textId="77777777" w:rsidR="00C12934" w:rsidRDefault="00C12934">
      <w:pPr>
        <w:rPr>
          <w:b/>
          <w:bCs/>
          <w:sz w:val="28"/>
          <w:szCs w:val="28"/>
        </w:rPr>
      </w:pPr>
    </w:p>
    <w:sectPr w:rsidR="00C1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2BA"/>
    <w:multiLevelType w:val="multilevel"/>
    <w:tmpl w:val="73C6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67E3E"/>
    <w:multiLevelType w:val="multilevel"/>
    <w:tmpl w:val="A366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619EA"/>
    <w:multiLevelType w:val="multilevel"/>
    <w:tmpl w:val="C01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621502"/>
    <w:multiLevelType w:val="hybridMultilevel"/>
    <w:tmpl w:val="36C8F34E"/>
    <w:lvl w:ilvl="0" w:tplc="F1829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B9156A"/>
    <w:multiLevelType w:val="hybridMultilevel"/>
    <w:tmpl w:val="C83E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  <w:num w:numId="7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A5"/>
    <w:rsid w:val="00063C97"/>
    <w:rsid w:val="00085E0F"/>
    <w:rsid w:val="000B17A5"/>
    <w:rsid w:val="0010795D"/>
    <w:rsid w:val="00107C47"/>
    <w:rsid w:val="00140965"/>
    <w:rsid w:val="00165F52"/>
    <w:rsid w:val="001B5C56"/>
    <w:rsid w:val="001D24C6"/>
    <w:rsid w:val="001F3A2B"/>
    <w:rsid w:val="002358F6"/>
    <w:rsid w:val="00264DDE"/>
    <w:rsid w:val="00284193"/>
    <w:rsid w:val="0029642E"/>
    <w:rsid w:val="002D0AB7"/>
    <w:rsid w:val="00305C81"/>
    <w:rsid w:val="00312180"/>
    <w:rsid w:val="003A0CC4"/>
    <w:rsid w:val="003A7F16"/>
    <w:rsid w:val="0047420E"/>
    <w:rsid w:val="004C3EA4"/>
    <w:rsid w:val="00507508"/>
    <w:rsid w:val="0051303D"/>
    <w:rsid w:val="00515C8D"/>
    <w:rsid w:val="005261DB"/>
    <w:rsid w:val="005264D6"/>
    <w:rsid w:val="00544584"/>
    <w:rsid w:val="0059542D"/>
    <w:rsid w:val="006339E9"/>
    <w:rsid w:val="0064084F"/>
    <w:rsid w:val="0064630E"/>
    <w:rsid w:val="00670244"/>
    <w:rsid w:val="00677C94"/>
    <w:rsid w:val="00687F2E"/>
    <w:rsid w:val="00690FC6"/>
    <w:rsid w:val="006B561D"/>
    <w:rsid w:val="006B6BB5"/>
    <w:rsid w:val="006C6BB2"/>
    <w:rsid w:val="006D2422"/>
    <w:rsid w:val="00732747"/>
    <w:rsid w:val="00776E9B"/>
    <w:rsid w:val="007D0C11"/>
    <w:rsid w:val="00861A98"/>
    <w:rsid w:val="00867799"/>
    <w:rsid w:val="009F17D7"/>
    <w:rsid w:val="00A47201"/>
    <w:rsid w:val="00A62265"/>
    <w:rsid w:val="00AF7F1C"/>
    <w:rsid w:val="00B44390"/>
    <w:rsid w:val="00B703AF"/>
    <w:rsid w:val="00B77663"/>
    <w:rsid w:val="00B85200"/>
    <w:rsid w:val="00B93F75"/>
    <w:rsid w:val="00BC050E"/>
    <w:rsid w:val="00BF2620"/>
    <w:rsid w:val="00C12934"/>
    <w:rsid w:val="00C35B6B"/>
    <w:rsid w:val="00C615CB"/>
    <w:rsid w:val="00C67216"/>
    <w:rsid w:val="00C845D7"/>
    <w:rsid w:val="00C924F0"/>
    <w:rsid w:val="00D05765"/>
    <w:rsid w:val="00DE3250"/>
    <w:rsid w:val="00E0111D"/>
    <w:rsid w:val="00F00D08"/>
    <w:rsid w:val="00F542C0"/>
    <w:rsid w:val="00F578D4"/>
    <w:rsid w:val="00FA07B3"/>
    <w:rsid w:val="00FC538C"/>
    <w:rsid w:val="00FD6333"/>
    <w:rsid w:val="00F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618A"/>
  <w15:chartTrackingRefBased/>
  <w15:docId w15:val="{432394DB-B9A3-426F-B734-30741E3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7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8F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5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4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4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0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handa.younger@lausd.net" TargetMode="External"/><Relationship Id="rId5" Type="http://schemas.openxmlformats.org/officeDocument/2006/relationships/hyperlink" Target="https://nam11.safelinks.protection.outlook.com/?url=https%3A%2F%2Fcareer41.sapsf.com%2Fsfcareer%2Fjobreqcareerpvt%3FjobId%3D3560%26company%3Dlosangel01%26st%3D15F5AE2CEDC5A36CDAE968951B9715D1F3401F0B&amp;data=05%7C02%7Candres.equihua%40lausd.net%7C390ca52f9c8e4e62fc1208dd46d3c9a9%7C042a40a1b1284ac48648016ffa121487%7C0%7C0%7C638744597609409390%7CUnknown%7CTWFpbGZsb3d8eyJFbXB0eU1hcGkiOnRydWUsIlYiOiIwLjAuMDAwMCIsIlAiOiJXaW4zMiIsIkFOIjoiTWFpbCIsIldUIjoyfQ%3D%3D%7C0%7C%7C%7C&amp;sdata=tOIgbQI4FAxCyUW27it8SKYNJf7CW%2FH%2BtRNI%2BNzZH5s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2619</Characters>
  <Application>Microsoft Office Word</Application>
  <DocSecurity>0</DocSecurity>
  <Lines>238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W10 ENT X64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Siedelman, David</dc:creator>
  <cp:keywords/>
  <dc:description/>
  <cp:lastModifiedBy>Xitco, Dawn</cp:lastModifiedBy>
  <cp:revision>2</cp:revision>
  <dcterms:created xsi:type="dcterms:W3CDTF">2025-03-11T18:12:00Z</dcterms:created>
  <dcterms:modified xsi:type="dcterms:W3CDTF">2025-03-11T18:12:00Z</dcterms:modified>
</cp:coreProperties>
</file>